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spacing w:before="86"/>
        <w:ind w:left="100" w:right="0" w:firstLine="0"/>
        <w:jc w:val="left"/>
        <w:rPr>
          <w:b/>
          <w:sz w:val="4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6281156</wp:posOffset>
            </wp:positionH>
            <wp:positionV relativeFrom="paragraph">
              <wp:posOffset>-357212</wp:posOffset>
            </wp:positionV>
            <wp:extent cx="1099554" cy="1088084"/>
            <wp:effectExtent l="0" t="0" r="0" b="0"/>
            <wp:wrapNone/>
            <wp:docPr id="1" name="image1.jpeg" descr="A picture containing drawing, food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554" cy="1088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4536A"/>
          <w:sz w:val="44"/>
        </w:rPr>
        <w:t>BSTI COVID-19 CXR Report Proforma</w:t>
      </w: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67"/>
        </w:rPr>
      </w:pPr>
    </w:p>
    <w:p>
      <w:pPr>
        <w:pStyle w:val="Heading1"/>
        <w:ind w:left="100"/>
      </w:pPr>
      <w:r>
        <w:rPr>
          <w:color w:val="C00000"/>
          <w:u w:val="thick" w:color="C00000"/>
        </w:rPr>
        <w:t>Findings</w:t>
      </w:r>
    </w:p>
    <w:p>
      <w:pPr>
        <w:spacing w:before="179"/>
        <w:ind w:left="820" w:right="0" w:firstLine="0"/>
        <w:jc w:val="left"/>
        <w:rPr>
          <w:b/>
          <w:sz w:val="22"/>
        </w:rPr>
      </w:pPr>
      <w:r>
        <w:rPr>
          <w:b/>
          <w:sz w:val="22"/>
        </w:rPr>
        <w:t>Normal</w:t>
      </w:r>
    </w:p>
    <w:p>
      <w:pPr>
        <w:pStyle w:val="BodyText"/>
        <w:spacing w:before="183"/>
        <w:ind w:left="1540"/>
      </w:pPr>
      <w:r>
        <w:rPr/>
        <w:t>COVID-19 not excluded. Correlated with RT-PCR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</w:pPr>
    </w:p>
    <w:p>
      <w:pPr>
        <w:pStyle w:val="Heading1"/>
      </w:pPr>
      <w:r>
        <w:rPr/>
        <w:t>Classic/Probable COVID-19</w:t>
      </w:r>
    </w:p>
    <w:p>
      <w:pPr>
        <w:pStyle w:val="BodyText"/>
        <w:spacing w:before="180"/>
        <w:ind w:left="1540"/>
      </w:pPr>
      <w:r>
        <w:rPr/>
        <w:t>Lower lobe and peripheral predominant multiple opacities that are bilateral (&gt;&gt; unilateral)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</w:pPr>
    </w:p>
    <w:p>
      <w:pPr>
        <w:pStyle w:val="Heading1"/>
      </w:pPr>
      <w:r>
        <w:rPr/>
        <w:t>Indeterminate for COVID-19</w:t>
      </w:r>
    </w:p>
    <w:p>
      <w:pPr>
        <w:pStyle w:val="BodyText"/>
        <w:spacing w:before="180"/>
        <w:ind w:left="1540"/>
      </w:pPr>
      <w:r>
        <w:rPr/>
        <w:t>Does not fit Classic or Non-COVID-19 descriptors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</w:pPr>
    </w:p>
    <w:p>
      <w:pPr>
        <w:pStyle w:val="Heading1"/>
      </w:pPr>
      <w:r>
        <w:rPr/>
        <w:t>Non-COVID-19</w:t>
      </w:r>
    </w:p>
    <w:p>
      <w:pPr>
        <w:pStyle w:val="BodyText"/>
        <w:spacing w:before="183"/>
        <w:ind w:left="1540"/>
      </w:pPr>
      <w:r>
        <w:rPr/>
        <w:t>Pneumothorax / Lobar pneumonia / Pleural effusion(s) / Pulmonary oedema</w: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1540"/>
      </w:pPr>
      <w:r>
        <w:rPr/>
        <w:t>Other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</w:pPr>
    </w:p>
    <w:p>
      <w:pPr>
        <w:pStyle w:val="Heading1"/>
        <w:ind w:left="100"/>
      </w:pPr>
      <w:r>
        <w:rPr>
          <w:color w:val="C00000"/>
          <w:u w:val="thick" w:color="C00000"/>
        </w:rPr>
        <w:t>Quantifying disease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spacing w:before="94"/>
        <w:ind w:left="820" w:right="0" w:firstLine="0"/>
        <w:jc w:val="left"/>
        <w:rPr>
          <w:b/>
          <w:sz w:val="22"/>
        </w:rPr>
      </w:pPr>
      <w:r>
        <w:rPr>
          <w:b/>
          <w:sz w:val="22"/>
        </w:rPr>
        <w:t>Mild / Moderate / Severe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color w:val="C00000"/>
          <w:sz w:val="22"/>
          <w:u w:val="thick" w:color="C00000"/>
        </w:rPr>
        <w:t>Other findings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Heading2"/>
      </w:pPr>
      <w:r>
        <w:rPr/>
        <w:t>Codes for subsequent Radiology Information System search:</w:t>
      </w:r>
    </w:p>
    <w:p>
      <w:pPr>
        <w:spacing w:line="410" w:lineRule="auto" w:before="180"/>
        <w:ind w:left="100" w:right="1271" w:firstLine="0"/>
        <w:jc w:val="left"/>
        <w:rPr>
          <w:sz w:val="22"/>
        </w:rPr>
      </w:pPr>
      <w:r>
        <w:rPr>
          <w:b/>
          <w:sz w:val="22"/>
          <w:u w:val="thick"/>
        </w:rPr>
        <w:t>CVCX0</w:t>
      </w:r>
      <w:r>
        <w:rPr>
          <w:b/>
          <w:sz w:val="22"/>
        </w:rPr>
        <w:t> </w:t>
      </w:r>
      <w:r>
        <w:rPr>
          <w:sz w:val="22"/>
        </w:rPr>
        <w:t>= Normal </w:t>
      </w:r>
      <w:r>
        <w:rPr>
          <w:b/>
          <w:sz w:val="22"/>
          <w:u w:val="thick"/>
        </w:rPr>
        <w:t>CVCX1</w:t>
      </w:r>
      <w:r>
        <w:rPr>
          <w:b/>
          <w:sz w:val="22"/>
        </w:rPr>
        <w:t> </w:t>
      </w:r>
      <w:r>
        <w:rPr>
          <w:sz w:val="22"/>
        </w:rPr>
        <w:t>= Classic </w:t>
      </w:r>
      <w:r>
        <w:rPr>
          <w:b/>
          <w:sz w:val="22"/>
          <w:u w:val="thick"/>
        </w:rPr>
        <w:t>CVCX2</w:t>
      </w:r>
      <w:r>
        <w:rPr>
          <w:b/>
          <w:sz w:val="22"/>
        </w:rPr>
        <w:t> </w:t>
      </w:r>
      <w:r>
        <w:rPr>
          <w:sz w:val="22"/>
        </w:rPr>
        <w:t>= Indeterminate </w:t>
      </w:r>
      <w:r>
        <w:rPr>
          <w:b/>
          <w:sz w:val="22"/>
        </w:rPr>
        <w:t>CVCX3 </w:t>
      </w:r>
      <w:r>
        <w:rPr>
          <w:sz w:val="22"/>
        </w:rPr>
        <w:t>= Non-COVID-19 </w:t>
      </w:r>
      <w:r>
        <w:rPr>
          <w:color w:val="001F5F"/>
          <w:sz w:val="22"/>
        </w:rPr>
        <w:t>Please consider case upload to </w:t>
      </w:r>
      <w:hyperlink r:id="rId6">
        <w:r>
          <w:rPr>
            <w:color w:val="C00000"/>
            <w:sz w:val="22"/>
            <w:u w:val="single" w:color="C00000"/>
          </w:rPr>
          <w:t>https://bit.ly/BSTICovid19_Database</w:t>
        </w:r>
      </w:hyperlink>
    </w:p>
    <w:sectPr>
      <w:type w:val="continuous"/>
      <w:pgSz w:w="11900" w:h="16850"/>
      <w:pgMar w:top="780" w:bottom="280" w:left="134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gb" w:bidi="en-gb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gb" w:eastAsia="en-gb" w:bidi="en-gb"/>
    </w:rPr>
  </w:style>
  <w:style w:styleId="Heading1" w:type="paragraph">
    <w:name w:val="Heading 1"/>
    <w:basedOn w:val="Normal"/>
    <w:uiPriority w:val="1"/>
    <w:qFormat/>
    <w:pPr>
      <w:ind w:left="820"/>
      <w:outlineLvl w:val="1"/>
    </w:pPr>
    <w:rPr>
      <w:rFonts w:ascii="Arial" w:hAnsi="Arial" w:eastAsia="Arial" w:cs="Arial"/>
      <w:b/>
      <w:bCs/>
      <w:sz w:val="22"/>
      <w:szCs w:val="22"/>
      <w:lang w:val="en-gb" w:eastAsia="en-gb" w:bidi="en-gb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 w:cs="Arial"/>
      <w:sz w:val="22"/>
      <w:szCs w:val="22"/>
      <w:lang w:val="en-gb" w:eastAsia="en-gb" w:bidi="en-gb"/>
    </w:rPr>
  </w:style>
  <w:style w:styleId="ListParagraph" w:type="paragraph">
    <w:name w:val="List Paragraph"/>
    <w:basedOn w:val="Normal"/>
    <w:uiPriority w:val="1"/>
    <w:qFormat/>
    <w:pPr/>
    <w:rPr>
      <w:lang w:val="en-gb" w:eastAsia="en-gb" w:bidi="en-gb"/>
    </w:rPr>
  </w:style>
  <w:style w:styleId="TableParagraph" w:type="paragraph">
    <w:name w:val="Table Paragraph"/>
    <w:basedOn w:val="Normal"/>
    <w:uiPriority w:val="1"/>
    <w:qFormat/>
    <w:pPr/>
    <w:rPr>
      <w:lang w:val="en-gb" w:eastAsia="en-gb" w:bidi="en-gb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bit.ly/BSTICovid19_Databas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Hudson</dc:creator>
  <dcterms:created xsi:type="dcterms:W3CDTF">2020-03-15T21:04:21Z</dcterms:created>
  <dcterms:modified xsi:type="dcterms:W3CDTF">2020-03-15T21:04:21Z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2020-03-15T00:00:00Z</vt:filetime>
  </property>
</Properties>
</file>